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2-2356-2611/26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86MS0065-01-2026-001716-66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28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Борубаевой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Айгул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Борубаевне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 и процентов за пользование чужими денежными средствами,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города Сургута обратилась с иском к </w:t>
      </w:r>
      <w:r>
        <w:rPr>
          <w:rFonts w:ascii="Times New Roman" w:eastAsia="Times New Roman" w:hAnsi="Times New Roman" w:cs="Times New Roman"/>
          <w:sz w:val="28"/>
          <w:szCs w:val="28"/>
        </w:rPr>
        <w:t>Борубаевой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Айгул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Борубаевне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 и процентов за пользование чужими денежными средствами.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истца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участвовал, до судебного заседания представил ходатайство,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представителя истца имеются соответствующие полномочия на отказ от иска, согласно доверенности от 16.12.2024 № 519,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Карлова Н.И.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№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2356-2611/26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Борубаевой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Айгул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Борубаевне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и процентов за пользование чужими денежными средствами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 судебного участка №11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«28»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 xml:space="preserve">умент находится в деле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2-2356-2611/26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